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61" w:rsidRPr="00E26CA1" w:rsidRDefault="003F6B61" w:rsidP="003F6B61">
      <w:pPr>
        <w:pStyle w:val="Tytuaktu"/>
      </w:pPr>
      <w:r>
        <w:t>ZARZĄDZENIE</w:t>
      </w:r>
      <w:r w:rsidRPr="00E26CA1">
        <w:t xml:space="preserve"> NR</w:t>
      </w:r>
      <w:r>
        <w:t>: 96/11</w:t>
      </w:r>
    </w:p>
    <w:p w:rsidR="003F6B61" w:rsidRPr="00E26CA1" w:rsidRDefault="003F6B61" w:rsidP="003F6B61">
      <w:pPr>
        <w:pStyle w:val="Tytuaktu"/>
      </w:pPr>
      <w:r>
        <w:t>BURMISTRZA CZYŻEWA</w:t>
      </w:r>
    </w:p>
    <w:p w:rsidR="003F6B61" w:rsidRPr="00E26CA1" w:rsidRDefault="003F6B61" w:rsidP="003F6B61">
      <w:pPr>
        <w:pStyle w:val="zdnia"/>
      </w:pPr>
      <w:r>
        <w:t>30 GRUDNIA 2011 ROKU</w:t>
      </w:r>
    </w:p>
    <w:p w:rsidR="003F6B61" w:rsidRPr="009D116E" w:rsidRDefault="003F6B61" w:rsidP="003F6B61">
      <w:pPr>
        <w:jc w:val="center"/>
        <w:rPr>
          <w:b/>
        </w:rPr>
      </w:pPr>
    </w:p>
    <w:p w:rsidR="003F6B61" w:rsidRDefault="003F6B61" w:rsidP="003F6B61">
      <w:pPr>
        <w:pStyle w:val="wsprawie"/>
      </w:pPr>
      <w:proofErr w:type="gramStart"/>
      <w:r>
        <w:t>w</w:t>
      </w:r>
      <w:proofErr w:type="gramEnd"/>
      <w:r>
        <w:t xml:space="preserve"> sprawie zmian Wieloletniej Prognozy Finansowej Gminy Czyżew na lata 2011 - 2014 wraz z prognozą kwoty długu i spłat zobowiązań na lata 2011 - 2016</w:t>
      </w:r>
    </w:p>
    <w:p w:rsidR="003F6B61" w:rsidRPr="004A0D47" w:rsidRDefault="003F6B61" w:rsidP="003F6B61">
      <w:pPr>
        <w:pStyle w:val="podstawa"/>
      </w:pPr>
      <w:r>
        <w:t xml:space="preserve">Na podstawie art.232 ustawy z dnia 27 sierpnia 2009 o finansach publicznych (Dz. U. z 2009r. Nr 157,poz.1240, z 2010r. Nr.28,poz.146, Nr 123, poz.853, Nr 152, poz.1020, Nr 96 poz.620, Nr 238, poz.1578, Nr 257, poz.1726, ) </w:t>
      </w:r>
      <w:r w:rsidRPr="00717B03">
        <w:t>Burmistrz zarządza</w:t>
      </w:r>
      <w:r>
        <w:t xml:space="preserve"> </w:t>
      </w:r>
      <w:r w:rsidRPr="004A0D47">
        <w:t xml:space="preserve">co następuje: </w:t>
      </w:r>
    </w:p>
    <w:p w:rsidR="003F6B61" w:rsidRDefault="003F6B61" w:rsidP="003F6B61">
      <w:pPr>
        <w:pStyle w:val="paragraf"/>
      </w:pPr>
      <w:r>
        <w:t>Zmienia się załącznik Nr :1 do uchwały nr V/32/11 Rady Miejskiej w Czyżewie z dnia 10 lutego 2011 r. w sprawie uchwalenia Wieloletniej Prognozy Finansowej Gminy Czyżew na lata 2011 - 2014 wraz z prognozą kwoty długu i spłat zobowiązań na lata 2011 - 2016, z póź. zm. zgodnie z załącznikiem Nr :1 do niniejszego zarządzenia.</w:t>
      </w:r>
    </w:p>
    <w:p w:rsidR="003F6B61" w:rsidRDefault="003F6B61" w:rsidP="003F6B61"/>
    <w:p w:rsidR="003F6B61" w:rsidRPr="00F46DA2" w:rsidRDefault="003F6B61" w:rsidP="003F6B61">
      <w:pPr>
        <w:pStyle w:val="paragraf"/>
      </w:pPr>
      <w:r w:rsidRPr="00F46DA2">
        <w:t>Objaśnienia wprowadzonych zmian do Wieloletniej Prognozy Finansowej</w:t>
      </w:r>
      <w:r>
        <w:t xml:space="preserve"> Gminy Czyżew na lata 2011 - 2014</w:t>
      </w:r>
      <w:r w:rsidRPr="00F46DA2">
        <w:t xml:space="preserve"> wraz z </w:t>
      </w:r>
      <w:r>
        <w:t xml:space="preserve">prognozą kwoty długu i spłaty zobowiązań na lata 2011 - 2016,  zawarto w Załączniku Nr: 2 do niniejszego zarządzenia. </w:t>
      </w:r>
    </w:p>
    <w:p w:rsidR="003F6B61" w:rsidRDefault="003F6B61" w:rsidP="003F6B61">
      <w:pPr>
        <w:jc w:val="center"/>
        <w:rPr>
          <w:b/>
        </w:rPr>
      </w:pPr>
    </w:p>
    <w:p w:rsidR="003F6B61" w:rsidRPr="006771D5" w:rsidRDefault="003F6B61" w:rsidP="003F6B61">
      <w:pPr>
        <w:pStyle w:val="paragraf"/>
      </w:pPr>
      <w:r>
        <w:t>Zarządzenie wchodzi w życie z dniem podjęcia.</w:t>
      </w:r>
    </w:p>
    <w:p w:rsidR="003F6B61" w:rsidRPr="006771D5" w:rsidRDefault="003F6B61" w:rsidP="003F6B61"/>
    <w:p w:rsidR="003F6B61" w:rsidRDefault="003F6B61" w:rsidP="003F6B61">
      <w:pPr>
        <w:pStyle w:val="Podpis"/>
      </w:pPr>
      <w:r>
        <w:t>Burmistrz</w:t>
      </w:r>
    </w:p>
    <w:p w:rsidR="003F6B61" w:rsidRDefault="003F6B61" w:rsidP="003F6B61">
      <w:pPr>
        <w:pStyle w:val="Podpis"/>
      </w:pPr>
      <w:r>
        <w:t>Anna Bogucka</w:t>
      </w: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  <w:sectPr w:rsidR="003F6B61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4985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480"/>
        <w:gridCol w:w="1360"/>
        <w:gridCol w:w="1662"/>
        <w:gridCol w:w="1360"/>
        <w:gridCol w:w="1360"/>
        <w:gridCol w:w="146"/>
        <w:gridCol w:w="340"/>
        <w:gridCol w:w="920"/>
        <w:gridCol w:w="146"/>
        <w:gridCol w:w="1138"/>
        <w:gridCol w:w="199"/>
        <w:gridCol w:w="318"/>
        <w:gridCol w:w="938"/>
        <w:gridCol w:w="146"/>
        <w:gridCol w:w="1067"/>
        <w:gridCol w:w="146"/>
        <w:gridCol w:w="753"/>
        <w:gridCol w:w="327"/>
        <w:gridCol w:w="146"/>
        <w:gridCol w:w="593"/>
        <w:gridCol w:w="440"/>
      </w:tblGrid>
      <w:tr w:rsidR="003F6B61" w:rsidRPr="003F6B61" w:rsidTr="003F6B61">
        <w:trPr>
          <w:trHeight w:val="116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20"/>
                <w:szCs w:val="20"/>
              </w:rPr>
              <w:t>Załacznik</w:t>
            </w:r>
            <w:proofErr w:type="spellEnd"/>
            <w:r w:rsidRPr="003F6B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B61">
              <w:rPr>
                <w:rFonts w:ascii="Arial" w:hAnsi="Arial" w:cs="Arial"/>
                <w:color w:val="000000"/>
                <w:sz w:val="20"/>
                <w:szCs w:val="20"/>
              </w:rPr>
              <w:t>Nr:1</w:t>
            </w:r>
            <w:proofErr w:type="spellEnd"/>
            <w:r w:rsidRPr="003F6B61">
              <w:rPr>
                <w:rFonts w:ascii="Arial" w:hAnsi="Arial" w:cs="Arial"/>
                <w:color w:val="000000"/>
                <w:sz w:val="20"/>
                <w:szCs w:val="20"/>
              </w:rPr>
              <w:t xml:space="preserve"> do Zarządzenia Nr: 96/11 Burmistrza </w:t>
            </w:r>
            <w:proofErr w:type="gramStart"/>
            <w:r w:rsidRPr="003F6B61">
              <w:rPr>
                <w:rFonts w:ascii="Arial" w:hAnsi="Arial" w:cs="Arial"/>
                <w:color w:val="000000"/>
                <w:sz w:val="20"/>
                <w:szCs w:val="20"/>
              </w:rPr>
              <w:t>Czyżewa  z</w:t>
            </w:r>
            <w:proofErr w:type="gramEnd"/>
            <w:r w:rsidRPr="003F6B61">
              <w:rPr>
                <w:rFonts w:ascii="Arial" w:hAnsi="Arial" w:cs="Arial"/>
                <w:color w:val="000000"/>
                <w:sz w:val="20"/>
                <w:szCs w:val="20"/>
              </w:rPr>
              <w:t xml:space="preserve"> dnia 30 grudnia 2011 roku w sprawie zmian Wieloletniej Prognozy Finansowej Gminy Czyżew na lata 2011-2014 wraz z prognozą kwoty długu i spłaty zobowiązań na lata 2011-2016 .</w:t>
            </w:r>
          </w:p>
        </w:tc>
      </w:tr>
      <w:tr w:rsidR="003F6B61" w:rsidRPr="003F6B61" w:rsidTr="003F6B61">
        <w:trPr>
          <w:trHeight w:val="45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915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F6B6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WIELOLETN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IA PROGNOZA FINANSOWA GMINY CZYŻ</w:t>
            </w:r>
            <w:r w:rsidRPr="003F6B6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EW Na Lata 2011-2016 WRAZ Z PROGNOZĄ KWOTY DŁUGU I SPŁATY ZOBOWIĄZAŃ NA LATA 2011-2016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Dochody ogółem, </w:t>
            </w:r>
          </w:p>
        </w:tc>
        <w:tc>
          <w:tcPr>
            <w:tcW w:w="4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z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tego: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Wydatki bieżące (bez odsetek i prowizji od: kredytów i pożyczek oraz wyemitowanych papierów wartościowych)</w:t>
            </w:r>
          </w:p>
        </w:tc>
        <w:tc>
          <w:tcPr>
            <w:tcW w:w="635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dochody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bieżące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dochody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majątkowe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40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wynagrodzenia i składki od nich naliczane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związane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z funkcjonowaniem organów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JST</w:t>
            </w:r>
            <w:proofErr w:type="spellEnd"/>
          </w:p>
        </w:tc>
        <w:tc>
          <w:tcPr>
            <w:tcW w:w="1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z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tytułu gwarancji i poręczeń, 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wydatki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bieżące objęte limitem art. 226 ust. 4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</w:tr>
      <w:tr w:rsidR="003F6B61" w:rsidRPr="003F6B61" w:rsidTr="003F6B61">
        <w:trPr>
          <w:trHeight w:val="178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ze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sprzedaży majątku</w:t>
            </w:r>
          </w:p>
        </w:tc>
        <w:tc>
          <w:tcPr>
            <w:tcW w:w="140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5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1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gwarancje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i poręczenia podlegające wyłączeniu z limitów spłaty zobowiązań z art. 243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/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169sufp</w:t>
            </w:r>
            <w:proofErr w:type="spellEnd"/>
          </w:p>
        </w:tc>
        <w:tc>
          <w:tcPr>
            <w:tcW w:w="11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1c</w:t>
            </w:r>
            <w:proofErr w:type="spellEnd"/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2a</w:t>
            </w:r>
            <w:proofErr w:type="spellEnd"/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2b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2c</w:t>
            </w:r>
            <w:proofErr w:type="spellEnd"/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2d</w:t>
            </w:r>
            <w:proofErr w:type="spellEnd"/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2e</w:t>
            </w:r>
            <w:proofErr w:type="spellEnd"/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18 301 592,97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17 351 119,24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950 473,73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390 314,34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11 550 710,41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5 303 511,64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307 833,89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18 310 484,67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16 846 704,30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1 463 780,37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22 604,96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12 202 016,68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5 722 851,78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374 265,34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Plan 3 kw.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19 722 529,00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17 335 624,00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2 386 905,00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49 000,00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13 447 949,00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6 837 603,35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301 040,00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Przewidywane wykonanie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19 098 557,20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18 019 558,37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1 078 998,83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112 982,94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13 461 894,51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6 536 576,53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398 830,30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23 663 854,71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18 808 660,86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4 855 193,85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2 200,00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14 469 561,54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7 079 806,93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540 230,65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21 900 000,00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18 358 856,00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3 541 144,00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14 075 203,00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7 744 493,00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575 454,00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20 100 000,00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18 600 000,00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1 500 000,00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14 300 000,00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7 900 000,00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600 000,00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19 900 000,00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18 900 000,00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1 000 000,00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14 700 000,00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8 100 000,00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650 000,00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19 200 000,00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19 200 000,00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15 000 000,00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8 400 000,00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700 000,00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19 500 000,00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19 500 000,00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15 300 000,00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8 700 000,00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750 000,00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3F6B61" w:rsidRPr="003F6B61" w:rsidTr="003F6B61">
        <w:trPr>
          <w:trHeight w:val="574"/>
        </w:trPr>
        <w:tc>
          <w:tcPr>
            <w:tcW w:w="134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F6B61" w:rsidRPr="003F6B61" w:rsidTr="003F6B61">
        <w:trPr>
          <w:trHeight w:val="375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Rok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Różnica (1-2)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Nadwyżka budżetowa z lat ubiegłych plus wolne środki, zgodnie z art. 217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Inne przychody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nie związane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z zaciągnięciem długu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Środki do dyspozycji (3+4+5)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Spłata i obsługa długu</w:t>
            </w:r>
          </w:p>
        </w:tc>
        <w:tc>
          <w:tcPr>
            <w:tcW w:w="26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z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tego: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25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nadwyżka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budżetowa z lat ubiegłych plus wolne środki, zgodnie z art. 217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, angażowane na pokrycie deficytu budżetu roku bieżącego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rozchody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z tytułu spłaty rat kapitałowych oraz wykupu papierów wartościowych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wydatki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bieżące na obsługę długu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7a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7b</w:t>
            </w:r>
            <w:proofErr w:type="spellEnd"/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6 750 882,56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148 521,52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6 899 404,08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377 781,24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306 000,00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71 781,24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6 108 467,99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1 432 518,54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7 540 986,53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327 528,79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286 000,00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41 528,79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Plan 3 kw.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6 274 580,00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1 526 379,00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7 800 959,00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286 000,00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40 000,00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Przewidywane wykonanie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5 636 662,69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2 829 883,00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8 466 545,69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271 326,81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25 326,81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9 194 293,17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1 597 646,85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10 791 940,02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1 498 646,85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1 447 646,85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51 000,00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7 824 797,00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100 000,00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7 924 797,00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276 000,00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30 000,00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5 800 000,00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5 800 000,00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270 000,00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5 200 000,00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5 200 000,00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264 000,00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4 200 000,00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4 200 000,00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258 000,00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12 000,00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4 200 000,00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4 200 000,00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252 000,00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1440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574"/>
        </w:trPr>
        <w:tc>
          <w:tcPr>
            <w:tcW w:w="134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F6B61" w:rsidRPr="003F6B61" w:rsidTr="003F6B61">
        <w:trPr>
          <w:trHeight w:val="703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Rok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Inne rozchody (bez spłaty długu np. udzielane pożyczki)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"Środki do dyspozycji </w:t>
            </w: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br/>
              <w:t>(6-7-8)"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Wydatki majątkowe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Przychody (kredyty, pożyczki, emisje obligacji)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"Rozliczenie budżetu </w:t>
            </w: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br/>
              <w:t>(9-10+11)"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108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wydatki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majątkowe objęte limitem art. 226 ust. 4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40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10a</w:t>
            </w:r>
            <w:proofErr w:type="spellEnd"/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6 521 622,84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5 093 839,80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1 427 783,04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7 213 457,74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4 311 680,43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2 901 777,31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Plan 3 kw.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7 514 959,00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8 738 459,00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1 223 500,00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Przewidywane wykonanie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8 195 218,88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7 871 781,90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1 201 646,85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1 525 083,83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9 293 293,17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9 293 293,17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1 190 422,00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7 648 797,00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7 648 797,00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4 556 690,00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5 530 000,00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5 530 000,00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4 936 000,00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4 936 000,00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3 942 000,00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3 942 000,00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3 948 000,00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3 948 000,00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1680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574"/>
        </w:trPr>
        <w:tc>
          <w:tcPr>
            <w:tcW w:w="134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F6B61" w:rsidRPr="003F6B61" w:rsidTr="003F6B61">
        <w:trPr>
          <w:trHeight w:val="1554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Rok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Kwota długu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Kwota zobowiązań związku współtworzonego przez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jst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przypadających do spłaty w danym roku budżetowym podlegająca doliczeniu zgodnie z art. 244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Relacja planowanej łącznej kwoty spłat zobowiązań do dochodów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Maksymalny dopuszczalny wskaźnik spłaty z art. 243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Planowana łączna kwota spłaty zobowiązań po uwzględnieniu art. 244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Relacja (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Db-Wb+Dsm</w:t>
            </w:r>
            <w:proofErr w:type="spellEnd"/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)/Do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, o której mowa w art. 243 w danym roku</w:t>
            </w: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Spełnienie wskaźnika spłaty z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art. 243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po uwzględnieniu art. 244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505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łączna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kwota wyłączeń z art. 243 ust. 3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pkt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1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oraz art. 170 ust. 3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kwota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wyłączeń z art. 243 ust. 3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pkt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1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oraz art. 169 ust. 3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przypadająca na dany rok budżetowy</w:t>
            </w: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1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2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13b</w:t>
            </w:r>
            <w:proofErr w:type="spellEnd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15a</w:t>
            </w:r>
            <w:proofErr w:type="spellEnd"/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15b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15c</w:t>
            </w:r>
            <w:proofErr w:type="spellEnd"/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2 008 000,00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2,06%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2,06%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33,43%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1 722 000,00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1,79%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1,79%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25,26%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Plan 3 kw.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2 945 507,00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1 223 500,00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1,45%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1,45%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19,76%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Przewidywane wykonanie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2 677 646,85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1 201 646,85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1,42%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1,42%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24,32%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1 230 000,00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1 201 646,85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6,33%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26,15%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6,33%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18,13%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984 000,00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1,26%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21,05%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1,26%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19,42%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738 000,00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19,10%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21,27%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492 000,00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1,33%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19,61%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1,33%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21,02%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20,57%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21,81%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1,29%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21,37%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1,29%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21,51%</w:t>
            </w: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1710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574"/>
        </w:trPr>
        <w:tc>
          <w:tcPr>
            <w:tcW w:w="134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F6B61" w:rsidRPr="003F6B61" w:rsidTr="003F6B61">
        <w:trPr>
          <w:trHeight w:val="1287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4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Rok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Planowana łączna kwota spłaty zobowiązań do dochodów ogółem -max 15% z art. 169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Zadłużenie/dochody ogółem [(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13–13a</w:t>
            </w:r>
            <w:proofErr w:type="spellEnd"/>
            <w:proofErr w:type="gram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):1] - max</w:t>
            </w:r>
            <w:proofErr w:type="gram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60% z art. 170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Wydatki bieżące razem (2 + 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7b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Wydatki ogółem (10+19)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Wynik budżetu (1 - 20)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Dochody bieżące minus wydatki bieżące</w:t>
            </w: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br/>
              <w:t>(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1a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- 19)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Przychody budżetu (4+5+11)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Rozchody budżetu </w:t>
            </w: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br/>
              <w:t>(</w:t>
            </w: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7a</w:t>
            </w:r>
            <w:proofErr w:type="spellEnd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 xml:space="preserve"> + 8)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21a</w:t>
            </w:r>
            <w:proofErr w:type="spellEnd"/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23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2,06%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10,97%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11 622 491,65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16 716 331,45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1 585 261,52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5 728 627,59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148 521,52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306 000,00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Wykonanie 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1,79%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9,40%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12 243 545,47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16 555 225,90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1 755 258,77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4 603 158,83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1 432 518,54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286 000,00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Plan 3 kw.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1,45%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8,73%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13 487 949,00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22 226 408,00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-2 503 879,00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3 847 675,00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2 749 879,00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Przewidywane wykonanie 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1,42%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7,73%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13 487 221,32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21 359 003,22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-2 260 446,02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4 532 337,05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4 031 529,85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1,26%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5,20%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14 520 561,54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23 813 854,71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-150 000,00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4 288 099,32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1 597 646,85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1 447 646,85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1,26%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4,49%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14 105 203,00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21 754 000,00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146 000,00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4 253 653,00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100 000,00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3,67%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14 324 000,00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19 854 000,00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4 276 000,00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1,33%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2,47%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14 718 000,00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19 654 000,00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4 182 000,00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15 012 000,00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18 954 000,00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4 188 000,00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233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1,29%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15 306 000,00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19 254 000,00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4 194 000,00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6B61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742"/>
        </w:trPr>
        <w:tc>
          <w:tcPr>
            <w:tcW w:w="149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B61" w:rsidRPr="003F6B61" w:rsidTr="003F6B61">
        <w:trPr>
          <w:trHeight w:val="574"/>
        </w:trPr>
        <w:tc>
          <w:tcPr>
            <w:tcW w:w="134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1" w:rsidRPr="003F6B61" w:rsidRDefault="003F6B61" w:rsidP="003F6B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B61" w:rsidRPr="003F6B61" w:rsidRDefault="003F6B61" w:rsidP="003F6B61">
            <w:pPr>
              <w:jc w:val="center"/>
              <w:rPr>
                <w:rFonts w:ascii="Arial" w:hAnsi="Arial" w:cs="Arial"/>
                <w:color w:val="000000"/>
              </w:rPr>
            </w:pPr>
            <w:r w:rsidRPr="003F6B61"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3F6B61" w:rsidRDefault="003F6B61" w:rsidP="003F6B61">
      <w:pPr>
        <w:pStyle w:val="Podpis"/>
      </w:pPr>
      <w:r>
        <w:t>Burmistrz</w:t>
      </w:r>
    </w:p>
    <w:p w:rsidR="003F6B61" w:rsidRDefault="003F6B61" w:rsidP="003F6B61">
      <w:pPr>
        <w:pStyle w:val="Podpis"/>
      </w:pPr>
      <w:r>
        <w:t>Anna Bogucka</w:t>
      </w:r>
    </w:p>
    <w:p w:rsidR="003F6B61" w:rsidRDefault="003F6B61" w:rsidP="003F6B61">
      <w:pPr>
        <w:pStyle w:val="Podpis"/>
        <w:numPr>
          <w:ilvl w:val="0"/>
          <w:numId w:val="0"/>
        </w:numPr>
        <w:ind w:left="4536"/>
      </w:pPr>
    </w:p>
    <w:p w:rsidR="003F6B61" w:rsidRDefault="003F6B61" w:rsidP="003F6B61">
      <w:pPr>
        <w:pStyle w:val="Podpis"/>
        <w:numPr>
          <w:ilvl w:val="0"/>
          <w:numId w:val="0"/>
        </w:numPr>
        <w:ind w:left="4536"/>
        <w:sectPr w:rsidR="003F6B61" w:rsidSect="003F6B61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3F6B61" w:rsidRDefault="003F6B61" w:rsidP="003F6B61">
      <w:pPr>
        <w:pStyle w:val="Tytu"/>
        <w:ind w:left="5664" w:firstLine="708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lastRenderedPageBreak/>
        <w:t xml:space="preserve">Załącznik </w:t>
      </w:r>
      <w:proofErr w:type="gramStart"/>
      <w:r>
        <w:rPr>
          <w:b w:val="0"/>
          <w:bCs/>
          <w:sz w:val="22"/>
        </w:rPr>
        <w:t xml:space="preserve">Nr : 2  </w:t>
      </w:r>
      <w:proofErr w:type="gramEnd"/>
    </w:p>
    <w:p w:rsidR="003F6B61" w:rsidRDefault="003F6B61" w:rsidP="003F6B61">
      <w:pPr>
        <w:pStyle w:val="Tytu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  <w:t xml:space="preserve"> </w:t>
      </w:r>
      <w:proofErr w:type="gramStart"/>
      <w:r>
        <w:rPr>
          <w:b w:val="0"/>
          <w:bCs/>
          <w:sz w:val="22"/>
        </w:rPr>
        <w:t>do  Zarządzenia</w:t>
      </w:r>
      <w:proofErr w:type="gramEnd"/>
      <w:r>
        <w:rPr>
          <w:b w:val="0"/>
          <w:bCs/>
          <w:sz w:val="22"/>
        </w:rPr>
        <w:t xml:space="preserve">  Nr: 96/11 </w:t>
      </w:r>
    </w:p>
    <w:p w:rsidR="003F6B61" w:rsidRDefault="003F6B61" w:rsidP="003F6B61">
      <w:pPr>
        <w:pStyle w:val="Tytu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                                                                                               Burmistrza Czyżewa  </w:t>
      </w:r>
    </w:p>
    <w:p w:rsidR="003F6B61" w:rsidRDefault="003F6B61" w:rsidP="003F6B61">
      <w:pPr>
        <w:pStyle w:val="Tytu"/>
        <w:rPr>
          <w:sz w:val="22"/>
        </w:rPr>
      </w:pP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  <w:t xml:space="preserve">                  </w:t>
      </w:r>
      <w:proofErr w:type="gramStart"/>
      <w:r>
        <w:rPr>
          <w:b w:val="0"/>
          <w:bCs/>
          <w:sz w:val="22"/>
        </w:rPr>
        <w:t>z</w:t>
      </w:r>
      <w:proofErr w:type="gramEnd"/>
      <w:r>
        <w:rPr>
          <w:b w:val="0"/>
          <w:bCs/>
          <w:sz w:val="22"/>
        </w:rPr>
        <w:t xml:space="preserve"> dnia 30 grudnia 2011 r.</w:t>
      </w:r>
    </w:p>
    <w:p w:rsidR="003F6B61" w:rsidRDefault="003F6B61" w:rsidP="003F6B61">
      <w:pPr>
        <w:pStyle w:val="Tytu"/>
      </w:pPr>
    </w:p>
    <w:p w:rsidR="003F6B61" w:rsidRDefault="003F6B61" w:rsidP="003F6B61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OBJAŚNIENIA PRZYJĘTYCH </w:t>
      </w:r>
      <w:r>
        <w:rPr>
          <w:b/>
        </w:rPr>
        <w:t xml:space="preserve">ZMIAN </w:t>
      </w:r>
    </w:p>
    <w:p w:rsidR="003F6B61" w:rsidRDefault="003F6B61" w:rsidP="003F6B61">
      <w:pPr>
        <w:tabs>
          <w:tab w:val="left" w:pos="7400"/>
        </w:tabs>
        <w:jc w:val="center"/>
        <w:rPr>
          <w:b/>
          <w:sz w:val="28"/>
          <w:szCs w:val="28"/>
        </w:rPr>
      </w:pP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          Dokonuje się następujących zmian: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>W załączniku Nr 1 „Wieloletnia Prognoza Finansowa Gminy Czyżew na lata 2011 - 2014 wraz z prognoza kwoty długu i spłat zobowiązań na lata 2011 - 2016, w części dotyczącej roku 2011 zmieniono wielkości: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1. Dochody ogółem zmniejszono o </w:t>
      </w:r>
      <w:proofErr w:type="gramStart"/>
      <w:r>
        <w:t>kwotę : 10.000,00 zł  w</w:t>
      </w:r>
      <w:proofErr w:type="gramEnd"/>
      <w:r>
        <w:t xml:space="preserve"> tym: </w:t>
      </w:r>
    </w:p>
    <w:p w:rsidR="003F6B61" w:rsidRDefault="003F6B61" w:rsidP="003F6B61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bieżące zmniejszono o kwotę 10.000,00 </w:t>
      </w:r>
      <w:proofErr w:type="gramStart"/>
      <w:r>
        <w:t>zł</w:t>
      </w:r>
      <w:proofErr w:type="gramEnd"/>
      <w:r>
        <w:t>,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2. Wydatki ogółem </w:t>
      </w:r>
      <w:proofErr w:type="gramStart"/>
      <w:r>
        <w:t>zmniejszono  o</w:t>
      </w:r>
      <w:proofErr w:type="gramEnd"/>
      <w:r>
        <w:t xml:space="preserve"> kwotę : 10.000,00 </w:t>
      </w:r>
      <w:proofErr w:type="gramStart"/>
      <w:r>
        <w:t>zł</w:t>
      </w:r>
      <w:proofErr w:type="gramEnd"/>
      <w:r>
        <w:t xml:space="preserve"> w tym: </w:t>
      </w:r>
    </w:p>
    <w:p w:rsidR="003F6B61" w:rsidRDefault="003F6B61" w:rsidP="003F6B61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zmniejszono o kwotę  18.000,00 </w:t>
      </w:r>
      <w:proofErr w:type="gramStart"/>
      <w:r>
        <w:t>zł</w:t>
      </w:r>
      <w:proofErr w:type="gramEnd"/>
      <w:r>
        <w:t xml:space="preserve">, </w:t>
      </w:r>
    </w:p>
    <w:p w:rsidR="003F6B61" w:rsidRDefault="003F6B61" w:rsidP="003F6B61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majątkowe zwiększono o kwotę 8.000,00 </w:t>
      </w:r>
      <w:proofErr w:type="gramStart"/>
      <w:r>
        <w:t>zł</w:t>
      </w:r>
      <w:proofErr w:type="gramEnd"/>
      <w:r>
        <w:t xml:space="preserve"> 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Kwotę wolnych środków wynosi 1.597.646,85 </w:t>
      </w:r>
      <w:proofErr w:type="gramStart"/>
      <w:r>
        <w:t>zł</w:t>
      </w:r>
      <w:proofErr w:type="gramEnd"/>
      <w:r>
        <w:t xml:space="preserve">. Wolne środki na koniec roku 2010 wyniosły 1.601.592,30 </w:t>
      </w:r>
      <w:proofErr w:type="gramStart"/>
      <w:r>
        <w:t>zł</w:t>
      </w:r>
      <w:proofErr w:type="gramEnd"/>
      <w:r>
        <w:t xml:space="preserve">. Część przeznaczona została na spłatę rat kapitałowych w kwocie w kwocie 246.000,00 </w:t>
      </w:r>
      <w:proofErr w:type="gramStart"/>
      <w:r>
        <w:t>zł</w:t>
      </w:r>
      <w:proofErr w:type="gramEnd"/>
      <w:r>
        <w:t xml:space="preserve">, spłatę pożyczki na wyprzedzające finansowanie działań finansowanych ze środków pochodzących z unii Europejskiej w kwocie  1.201.646,85 </w:t>
      </w:r>
      <w:proofErr w:type="gramStart"/>
      <w:r>
        <w:t>zł</w:t>
      </w:r>
      <w:proofErr w:type="gramEnd"/>
      <w:r>
        <w:t xml:space="preserve">, oraz pokrycie deficytu budżetu w kwocie 150.000,00 </w:t>
      </w:r>
      <w:proofErr w:type="gramStart"/>
      <w:r>
        <w:t>zł</w:t>
      </w:r>
      <w:proofErr w:type="gramEnd"/>
      <w:r>
        <w:t xml:space="preserve">. 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Na rozchody budżetu w 2011 roku w kwocie  1.447.646,85 </w:t>
      </w:r>
      <w:proofErr w:type="gramStart"/>
      <w:r>
        <w:t>zł</w:t>
      </w:r>
      <w:proofErr w:type="gramEnd"/>
      <w:r>
        <w:t xml:space="preserve">, składają się raty kredytów długoterminowych w kwocie 246.000,00 </w:t>
      </w:r>
      <w:proofErr w:type="gramStart"/>
      <w:r>
        <w:t>zł</w:t>
      </w:r>
      <w:proofErr w:type="gramEnd"/>
      <w:r>
        <w:t xml:space="preserve"> i spłata pożyczki na finansowanie działań projektów z udziałem środków Unii Europejskiej w kwocie  1.201.646,85 </w:t>
      </w:r>
      <w:proofErr w:type="gramStart"/>
      <w:r>
        <w:t>zł</w:t>
      </w:r>
      <w:proofErr w:type="gramEnd"/>
      <w:r>
        <w:t>.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Wskaźnik planowanej łącznej spłaty zobowiązań do dochodów ogółem z art. 169 </w:t>
      </w:r>
      <w:proofErr w:type="spellStart"/>
      <w:r>
        <w:t>sufp</w:t>
      </w:r>
      <w:proofErr w:type="spellEnd"/>
      <w:r>
        <w:t xml:space="preserve"> nie przekroczy 15% wyniesie – 1,26</w:t>
      </w:r>
      <w:r w:rsidRPr="00D31EF5">
        <w:t xml:space="preserve"> %.</w:t>
      </w:r>
      <w:r>
        <w:t xml:space="preserve"> Planowana łączna kwota spłaty zobowiązań do dochodów wyniesie także 6,33</w:t>
      </w:r>
      <w:r w:rsidRPr="00D31EF5">
        <w:t xml:space="preserve"> %.</w:t>
      </w:r>
      <w:r>
        <w:t xml:space="preserve"> Zadłużenie do dochodów </w:t>
      </w:r>
      <w:proofErr w:type="gramStart"/>
      <w:r>
        <w:t>ogółem  wyniesie</w:t>
      </w:r>
      <w:proofErr w:type="gramEnd"/>
      <w:r>
        <w:t xml:space="preserve"> 5,20%.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Spłata rat kapitałowych zaciągniętych pożyczek będzie trwała do roku 2016, i tak w 2011 roku -1.447.646,85 </w:t>
      </w:r>
      <w:proofErr w:type="gramStart"/>
      <w:r>
        <w:t>zł</w:t>
      </w:r>
      <w:proofErr w:type="gramEnd"/>
      <w:r>
        <w:t xml:space="preserve">, w 2012 roku -246.000,00 </w:t>
      </w:r>
      <w:proofErr w:type="gramStart"/>
      <w:r>
        <w:t>zł</w:t>
      </w:r>
      <w:proofErr w:type="gramEnd"/>
      <w:r>
        <w:t xml:space="preserve">, w 2013 roku 246.00,00 </w:t>
      </w:r>
      <w:proofErr w:type="gramStart"/>
      <w:r>
        <w:t>zł</w:t>
      </w:r>
      <w:proofErr w:type="gramEnd"/>
      <w:r>
        <w:t xml:space="preserve">, w 2014 roku -246.000,00 </w:t>
      </w:r>
      <w:proofErr w:type="gramStart"/>
      <w:r>
        <w:t>zł</w:t>
      </w:r>
      <w:proofErr w:type="gramEnd"/>
      <w:r>
        <w:t xml:space="preserve">, w 2015 roku -246.000,00 </w:t>
      </w:r>
      <w:proofErr w:type="gramStart"/>
      <w:r>
        <w:t>zł</w:t>
      </w:r>
      <w:proofErr w:type="gramEnd"/>
      <w:r>
        <w:t xml:space="preserve">, w 2016 roku -246.00,00 </w:t>
      </w:r>
      <w:proofErr w:type="gramStart"/>
      <w:r>
        <w:t>zł</w:t>
      </w:r>
      <w:proofErr w:type="gramEnd"/>
      <w:r>
        <w:t>.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 Po dokonanych zmianach:</w:t>
      </w:r>
    </w:p>
    <w:p w:rsidR="003F6B61" w:rsidRDefault="003F6B61" w:rsidP="003F6B61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ogółem w 2011 roku wynoszą – 23.663.854,71 </w:t>
      </w:r>
      <w:proofErr w:type="gramStart"/>
      <w:r>
        <w:t>zł</w:t>
      </w:r>
      <w:proofErr w:type="gramEnd"/>
    </w:p>
    <w:p w:rsidR="003F6B61" w:rsidRDefault="003F6B61" w:rsidP="003F6B61">
      <w:pPr>
        <w:numPr>
          <w:ilvl w:val="1"/>
          <w:numId w:val="19"/>
        </w:numPr>
        <w:tabs>
          <w:tab w:val="left" w:pos="7400"/>
        </w:tabs>
        <w:spacing w:line="360" w:lineRule="auto"/>
        <w:jc w:val="both"/>
      </w:pPr>
      <w:r>
        <w:t xml:space="preserve"> </w:t>
      </w:r>
      <w:proofErr w:type="gramStart"/>
      <w:r>
        <w:t>dochody</w:t>
      </w:r>
      <w:proofErr w:type="gramEnd"/>
      <w:r>
        <w:t xml:space="preserve"> bieżące - 18.808.660,86 </w:t>
      </w:r>
      <w:proofErr w:type="gramStart"/>
      <w:r>
        <w:t>zł</w:t>
      </w:r>
      <w:proofErr w:type="gramEnd"/>
    </w:p>
    <w:p w:rsidR="003F6B61" w:rsidRDefault="003F6B61" w:rsidP="003F6B61">
      <w:pPr>
        <w:numPr>
          <w:ilvl w:val="1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majątkowe – 4.855.193,85 </w:t>
      </w:r>
      <w:proofErr w:type="gramStart"/>
      <w:r>
        <w:t>zł</w:t>
      </w:r>
      <w:proofErr w:type="gramEnd"/>
    </w:p>
    <w:p w:rsidR="003F6B61" w:rsidRDefault="003F6B61" w:rsidP="003F6B61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ogółem w 2011 roku wynoszą  - 23.813.854,71 </w:t>
      </w:r>
      <w:proofErr w:type="gramStart"/>
      <w:r>
        <w:t>zł</w:t>
      </w:r>
      <w:proofErr w:type="gramEnd"/>
    </w:p>
    <w:p w:rsidR="003F6B61" w:rsidRDefault="003F6B61" w:rsidP="003F6B61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-  14.520.561,54 </w:t>
      </w:r>
      <w:proofErr w:type="gramStart"/>
      <w:r>
        <w:t>zł</w:t>
      </w:r>
      <w:proofErr w:type="gramEnd"/>
    </w:p>
    <w:p w:rsidR="003F6B61" w:rsidRDefault="003F6B61" w:rsidP="003F6B61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</w:pPr>
      <w:proofErr w:type="gramStart"/>
      <w:r>
        <w:lastRenderedPageBreak/>
        <w:t>wydatki</w:t>
      </w:r>
      <w:proofErr w:type="gramEnd"/>
      <w:r>
        <w:t xml:space="preserve"> majątkowe  -  9.293.293,17 </w:t>
      </w:r>
      <w:proofErr w:type="gramStart"/>
      <w:r>
        <w:t>zł</w:t>
      </w:r>
      <w:proofErr w:type="gramEnd"/>
      <w:r>
        <w:t xml:space="preserve"> </w:t>
      </w:r>
    </w:p>
    <w:p w:rsidR="003F6B61" w:rsidRDefault="003F6B61" w:rsidP="003F6B61">
      <w:pPr>
        <w:tabs>
          <w:tab w:val="left" w:pos="7400"/>
        </w:tabs>
        <w:spacing w:line="360" w:lineRule="auto"/>
        <w:jc w:val="both"/>
      </w:pPr>
      <w:r>
        <w:t xml:space="preserve">Deficyt budżetu gminy w 2011 roku wynosi 150.000,00 </w:t>
      </w:r>
      <w:proofErr w:type="gramStart"/>
      <w:r>
        <w:t>zł</w:t>
      </w:r>
      <w:proofErr w:type="gramEnd"/>
      <w:r>
        <w:t>.</w:t>
      </w:r>
    </w:p>
    <w:p w:rsidR="003F6B61" w:rsidRDefault="003F6B61" w:rsidP="003F6B61">
      <w:pPr>
        <w:pStyle w:val="Podpis"/>
      </w:pPr>
      <w:r>
        <w:t>Burmistrz</w:t>
      </w:r>
    </w:p>
    <w:p w:rsidR="003F6B61" w:rsidRDefault="003F6B61" w:rsidP="003F6B61">
      <w:pPr>
        <w:pStyle w:val="Podpis"/>
      </w:pPr>
      <w:r>
        <w:t>Anna Bogucka</w:t>
      </w:r>
    </w:p>
    <w:sectPr w:rsidR="003F6B61" w:rsidSect="003F6B61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61" w:rsidRDefault="003F6B61">
      <w:r>
        <w:separator/>
      </w:r>
    </w:p>
  </w:endnote>
  <w:endnote w:type="continuationSeparator" w:id="0">
    <w:p w:rsidR="003F6B61" w:rsidRDefault="003F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6B61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3F6B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61" w:rsidRDefault="003F6B61">
      <w:r>
        <w:separator/>
      </w:r>
    </w:p>
  </w:footnote>
  <w:footnote w:type="continuationSeparator" w:id="0">
    <w:p w:rsidR="003F6B61" w:rsidRDefault="003F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EA22855"/>
    <w:multiLevelType w:val="hybridMultilevel"/>
    <w:tmpl w:val="7C763B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3E893FBB"/>
    <w:multiLevelType w:val="hybridMultilevel"/>
    <w:tmpl w:val="5BC4CBD4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B0C4733"/>
    <w:multiLevelType w:val="hybridMultilevel"/>
    <w:tmpl w:val="8A5C54FE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3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B6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ytu">
    <w:name w:val="Title"/>
    <w:basedOn w:val="Normalny"/>
    <w:link w:val="TytuZnak"/>
    <w:qFormat/>
    <w:rsid w:val="003F6B61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3F6B61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4294633223</TotalTime>
  <Pages>8</Pages>
  <Words>1820</Words>
  <Characters>8782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2003-02-24T09:45:00Z</cp:lastPrinted>
  <dcterms:created xsi:type="dcterms:W3CDTF">2012-08-23T13:28:00Z</dcterms:created>
  <dcterms:modified xsi:type="dcterms:W3CDTF">2012-01-04T13:35:00Z</dcterms:modified>
</cp:coreProperties>
</file>